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A129" w14:textId="77777777" w:rsidR="00074A55" w:rsidRDefault="00ED1B9C" w:rsidP="00ED1B9C">
      <w:pPr>
        <w:jc w:val="center"/>
        <w:rPr>
          <w:rFonts w:asciiTheme="minorHAnsi" w:hAnsiTheme="minorHAnsi"/>
          <w:b/>
          <w:sz w:val="32"/>
          <w:szCs w:val="32"/>
        </w:rPr>
      </w:pPr>
      <w:r>
        <w:rPr>
          <w:rFonts w:asciiTheme="minorHAnsi" w:hAnsiTheme="minorHAnsi"/>
          <w:b/>
          <w:sz w:val="32"/>
          <w:szCs w:val="32"/>
        </w:rPr>
        <w:t xml:space="preserve">Dane CoC </w:t>
      </w:r>
      <w:r w:rsidRPr="00ED1B9C">
        <w:rPr>
          <w:rFonts w:asciiTheme="minorHAnsi" w:hAnsiTheme="minorHAnsi"/>
          <w:b/>
          <w:sz w:val="32"/>
          <w:szCs w:val="32"/>
        </w:rPr>
        <w:t xml:space="preserve">Written Standards Checklist- </w:t>
      </w:r>
      <w:r w:rsidR="005D62EE">
        <w:rPr>
          <w:rFonts w:asciiTheme="minorHAnsi" w:hAnsiTheme="minorHAnsi"/>
          <w:b/>
          <w:sz w:val="32"/>
          <w:szCs w:val="32"/>
        </w:rPr>
        <w:t>Permanent Supportive Housing</w:t>
      </w:r>
    </w:p>
    <w:p w14:paraId="3C5B7EA8" w14:textId="77777777" w:rsidR="00A537D0" w:rsidRDefault="00A537D0" w:rsidP="00ED1B9C">
      <w:pPr>
        <w:jc w:val="center"/>
        <w:rPr>
          <w:rFonts w:asciiTheme="minorHAnsi" w:hAnsiTheme="minorHAnsi"/>
          <w:b/>
          <w:sz w:val="32"/>
          <w:szCs w:val="32"/>
        </w:rPr>
      </w:pPr>
    </w:p>
    <w:p w14:paraId="1D16C7ED" w14:textId="77777777" w:rsidR="00A537D0" w:rsidRPr="00ED1B9C" w:rsidRDefault="00A537D0" w:rsidP="00ED1B9C">
      <w:pPr>
        <w:jc w:val="center"/>
        <w:rPr>
          <w:rFonts w:asciiTheme="minorHAnsi" w:hAnsiTheme="minorHAnsi"/>
          <w:b/>
          <w:sz w:val="32"/>
          <w:szCs w:val="32"/>
        </w:rPr>
      </w:pPr>
      <w:proofErr w:type="gramStart"/>
      <w:r>
        <w:rPr>
          <w:rFonts w:asciiTheme="minorHAnsi" w:hAnsiTheme="minorHAnsi"/>
          <w:b/>
          <w:sz w:val="32"/>
          <w:szCs w:val="32"/>
        </w:rPr>
        <w:t>Agency:_</w:t>
      </w:r>
      <w:proofErr w:type="gramEnd"/>
      <w:r>
        <w:rPr>
          <w:rFonts w:asciiTheme="minorHAnsi" w:hAnsiTheme="minorHAnsi"/>
          <w:b/>
          <w:sz w:val="32"/>
          <w:szCs w:val="32"/>
        </w:rPr>
        <w:t>____________________   Program(s):___________________________</w:t>
      </w:r>
    </w:p>
    <w:p w14:paraId="0E00A139" w14:textId="77777777" w:rsidR="00ED1B9C" w:rsidRPr="00ED1B9C" w:rsidRDefault="00ED1B9C" w:rsidP="00ED1B9C">
      <w:pPr>
        <w:jc w:val="center"/>
        <w:rPr>
          <w:rFonts w:asciiTheme="minorHAnsi" w:hAnsiTheme="minorHAnsi"/>
          <w:b/>
          <w:sz w:val="32"/>
          <w:szCs w:val="32"/>
        </w:rPr>
      </w:pPr>
    </w:p>
    <w:tbl>
      <w:tblPr>
        <w:tblStyle w:val="TableGrid"/>
        <w:tblW w:w="11520" w:type="dxa"/>
        <w:tblInd w:w="-365" w:type="dxa"/>
        <w:tblLook w:val="04A0" w:firstRow="1" w:lastRow="0" w:firstColumn="1" w:lastColumn="0" w:noHBand="0" w:noVBand="1"/>
      </w:tblPr>
      <w:tblGrid>
        <w:gridCol w:w="8124"/>
        <w:gridCol w:w="529"/>
        <w:gridCol w:w="538"/>
        <w:gridCol w:w="2329"/>
      </w:tblGrid>
      <w:tr w:rsidR="00ED1B9C" w:rsidRPr="00ED1B9C" w14:paraId="7203AFD3" w14:textId="77777777" w:rsidTr="00EE569C">
        <w:trPr>
          <w:trHeight w:val="301"/>
        </w:trPr>
        <w:tc>
          <w:tcPr>
            <w:tcW w:w="8124" w:type="dxa"/>
            <w:shd w:val="clear" w:color="auto" w:fill="D9D9D9" w:themeFill="background1" w:themeFillShade="D9"/>
          </w:tcPr>
          <w:p w14:paraId="4935BE2E"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Standards</w:t>
            </w:r>
          </w:p>
        </w:tc>
        <w:tc>
          <w:tcPr>
            <w:tcW w:w="529" w:type="dxa"/>
            <w:shd w:val="clear" w:color="auto" w:fill="D9D9D9" w:themeFill="background1" w:themeFillShade="D9"/>
          </w:tcPr>
          <w:p w14:paraId="2DCDC693"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Yes</w:t>
            </w:r>
          </w:p>
        </w:tc>
        <w:tc>
          <w:tcPr>
            <w:tcW w:w="538" w:type="dxa"/>
            <w:shd w:val="clear" w:color="auto" w:fill="D9D9D9" w:themeFill="background1" w:themeFillShade="D9"/>
          </w:tcPr>
          <w:p w14:paraId="4A47C367"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No</w:t>
            </w:r>
          </w:p>
        </w:tc>
        <w:tc>
          <w:tcPr>
            <w:tcW w:w="2329" w:type="dxa"/>
            <w:shd w:val="clear" w:color="auto" w:fill="D9D9D9" w:themeFill="background1" w:themeFillShade="D9"/>
          </w:tcPr>
          <w:p w14:paraId="3E2023A1" w14:textId="77777777" w:rsidR="00ED1B9C" w:rsidRPr="00E41438" w:rsidRDefault="00ED1B9C" w:rsidP="00ED1B9C">
            <w:pPr>
              <w:rPr>
                <w:rFonts w:asciiTheme="minorHAnsi" w:hAnsiTheme="minorHAnsi"/>
                <w:b/>
                <w:sz w:val="22"/>
                <w:szCs w:val="22"/>
              </w:rPr>
            </w:pPr>
            <w:r w:rsidRPr="00E41438">
              <w:rPr>
                <w:rFonts w:asciiTheme="minorHAnsi" w:hAnsiTheme="minorHAnsi"/>
                <w:b/>
                <w:sz w:val="22"/>
                <w:szCs w:val="22"/>
              </w:rPr>
              <w:t>Comments/Plan for Improvement</w:t>
            </w:r>
          </w:p>
        </w:tc>
      </w:tr>
      <w:tr w:rsidR="00ED1B9C" w:rsidRPr="00ED1B9C" w14:paraId="4E8A4519" w14:textId="77777777" w:rsidTr="00EE569C">
        <w:trPr>
          <w:trHeight w:val="301"/>
        </w:trPr>
        <w:tc>
          <w:tcPr>
            <w:tcW w:w="8124" w:type="dxa"/>
          </w:tcPr>
          <w:p w14:paraId="127D37C7" w14:textId="77777777" w:rsidR="00F66996" w:rsidRPr="001C5F45" w:rsidRDefault="00F66996" w:rsidP="00F66996">
            <w:pPr>
              <w:pStyle w:val="NoSpacing"/>
              <w:numPr>
                <w:ilvl w:val="0"/>
                <w:numId w:val="13"/>
              </w:numPr>
              <w:rPr>
                <w:sz w:val="22"/>
                <w:szCs w:val="22"/>
              </w:rPr>
            </w:pPr>
            <w:r w:rsidRPr="001C5F45">
              <w:rPr>
                <w:sz w:val="22"/>
                <w:szCs w:val="22"/>
              </w:rPr>
              <w:t xml:space="preserve">There can be no predetermined length of stay for a PSH project. </w:t>
            </w:r>
          </w:p>
          <w:p w14:paraId="68D18629" w14:textId="77777777" w:rsidR="00ED1B9C" w:rsidRPr="00ED1B9C" w:rsidRDefault="00ED1B9C">
            <w:pPr>
              <w:rPr>
                <w:rFonts w:asciiTheme="minorHAnsi" w:hAnsiTheme="minorHAnsi"/>
                <w:sz w:val="20"/>
                <w:szCs w:val="20"/>
              </w:rPr>
            </w:pPr>
          </w:p>
        </w:tc>
        <w:tc>
          <w:tcPr>
            <w:tcW w:w="529" w:type="dxa"/>
          </w:tcPr>
          <w:p w14:paraId="4914CDED" w14:textId="77777777" w:rsidR="00ED1B9C" w:rsidRPr="00ED1B9C" w:rsidRDefault="00ED1B9C">
            <w:pPr>
              <w:rPr>
                <w:rFonts w:asciiTheme="minorHAnsi" w:hAnsiTheme="minorHAnsi"/>
                <w:sz w:val="20"/>
                <w:szCs w:val="20"/>
              </w:rPr>
            </w:pPr>
          </w:p>
        </w:tc>
        <w:tc>
          <w:tcPr>
            <w:tcW w:w="538" w:type="dxa"/>
          </w:tcPr>
          <w:p w14:paraId="3E2CE0AE" w14:textId="77777777" w:rsidR="00ED1B9C" w:rsidRPr="00ED1B9C" w:rsidRDefault="00ED1B9C">
            <w:pPr>
              <w:rPr>
                <w:rFonts w:asciiTheme="minorHAnsi" w:hAnsiTheme="minorHAnsi"/>
                <w:sz w:val="20"/>
                <w:szCs w:val="20"/>
              </w:rPr>
            </w:pPr>
          </w:p>
        </w:tc>
        <w:tc>
          <w:tcPr>
            <w:tcW w:w="2329" w:type="dxa"/>
          </w:tcPr>
          <w:p w14:paraId="5AB4360C" w14:textId="77777777" w:rsidR="00ED1B9C" w:rsidRPr="00ED1B9C" w:rsidRDefault="00ED1B9C">
            <w:pPr>
              <w:rPr>
                <w:rFonts w:asciiTheme="minorHAnsi" w:hAnsiTheme="minorHAnsi"/>
                <w:sz w:val="20"/>
                <w:szCs w:val="20"/>
              </w:rPr>
            </w:pPr>
          </w:p>
        </w:tc>
      </w:tr>
      <w:tr w:rsidR="00ED1B9C" w:rsidRPr="00ED1B9C" w14:paraId="06352315" w14:textId="77777777" w:rsidTr="00EE569C">
        <w:trPr>
          <w:trHeight w:val="301"/>
        </w:trPr>
        <w:tc>
          <w:tcPr>
            <w:tcW w:w="8124" w:type="dxa"/>
          </w:tcPr>
          <w:p w14:paraId="2989A8A6" w14:textId="77777777" w:rsidR="00F66996" w:rsidRPr="001C5F45" w:rsidRDefault="00F66996" w:rsidP="00F66996">
            <w:pPr>
              <w:pStyle w:val="NoSpacing"/>
              <w:numPr>
                <w:ilvl w:val="0"/>
                <w:numId w:val="13"/>
              </w:numPr>
              <w:rPr>
                <w:sz w:val="22"/>
                <w:szCs w:val="22"/>
              </w:rPr>
            </w:pPr>
            <w:r w:rsidRPr="001C5F45">
              <w:rPr>
                <w:sz w:val="22"/>
                <w:szCs w:val="22"/>
              </w:rPr>
              <w:t>Supportive services designed to meet the needs of the project participants must be made available to the project participant throughout the duration of stay in the PSH project.</w:t>
            </w:r>
          </w:p>
          <w:p w14:paraId="2117B69B" w14:textId="77777777" w:rsidR="00ED1B9C" w:rsidRPr="00ED1B9C" w:rsidRDefault="00ED1B9C">
            <w:pPr>
              <w:rPr>
                <w:rFonts w:asciiTheme="minorHAnsi" w:hAnsiTheme="minorHAnsi"/>
                <w:sz w:val="20"/>
                <w:szCs w:val="20"/>
              </w:rPr>
            </w:pPr>
          </w:p>
        </w:tc>
        <w:tc>
          <w:tcPr>
            <w:tcW w:w="529" w:type="dxa"/>
          </w:tcPr>
          <w:p w14:paraId="25C52B08" w14:textId="77777777" w:rsidR="00ED1B9C" w:rsidRPr="00ED1B9C" w:rsidRDefault="00ED1B9C">
            <w:pPr>
              <w:rPr>
                <w:rFonts w:asciiTheme="minorHAnsi" w:hAnsiTheme="minorHAnsi"/>
                <w:sz w:val="20"/>
                <w:szCs w:val="20"/>
              </w:rPr>
            </w:pPr>
          </w:p>
        </w:tc>
        <w:tc>
          <w:tcPr>
            <w:tcW w:w="538" w:type="dxa"/>
          </w:tcPr>
          <w:p w14:paraId="181099C4" w14:textId="77777777" w:rsidR="00ED1B9C" w:rsidRPr="00ED1B9C" w:rsidRDefault="00ED1B9C">
            <w:pPr>
              <w:rPr>
                <w:rFonts w:asciiTheme="minorHAnsi" w:hAnsiTheme="minorHAnsi"/>
                <w:sz w:val="20"/>
                <w:szCs w:val="20"/>
              </w:rPr>
            </w:pPr>
          </w:p>
        </w:tc>
        <w:tc>
          <w:tcPr>
            <w:tcW w:w="2329" w:type="dxa"/>
          </w:tcPr>
          <w:p w14:paraId="4FE7AF19" w14:textId="77777777" w:rsidR="00ED1B9C" w:rsidRPr="00ED1B9C" w:rsidRDefault="00ED1B9C">
            <w:pPr>
              <w:rPr>
                <w:rFonts w:asciiTheme="minorHAnsi" w:hAnsiTheme="minorHAnsi"/>
                <w:sz w:val="20"/>
                <w:szCs w:val="20"/>
              </w:rPr>
            </w:pPr>
          </w:p>
        </w:tc>
      </w:tr>
      <w:tr w:rsidR="00ED1B9C" w:rsidRPr="00ED1B9C" w14:paraId="20BF8012" w14:textId="77777777" w:rsidTr="00EE569C">
        <w:trPr>
          <w:trHeight w:val="301"/>
        </w:trPr>
        <w:tc>
          <w:tcPr>
            <w:tcW w:w="8124" w:type="dxa"/>
          </w:tcPr>
          <w:p w14:paraId="3F8F9DAB" w14:textId="77777777" w:rsidR="00F66996" w:rsidRPr="001C5F45" w:rsidRDefault="00F66996" w:rsidP="00F66996">
            <w:pPr>
              <w:pStyle w:val="NoSpacing"/>
              <w:numPr>
                <w:ilvl w:val="0"/>
                <w:numId w:val="13"/>
              </w:numPr>
              <w:rPr>
                <w:sz w:val="22"/>
                <w:szCs w:val="22"/>
              </w:rPr>
            </w:pPr>
            <w:r w:rsidRPr="001C5F45">
              <w:rPr>
                <w:sz w:val="22"/>
                <w:szCs w:val="22"/>
              </w:rPr>
              <w:t xml:space="preserve">Project participants in PSH must enter into a lease agreement that is terminable for cause for an initial term of at least one year. The lease must be automatically renewable upon expiration for a minimum term of one month, except on prior notice by either party. </w:t>
            </w:r>
          </w:p>
          <w:p w14:paraId="03A07614" w14:textId="77777777" w:rsidR="00ED1B9C" w:rsidRPr="00ED1B9C" w:rsidRDefault="00ED1B9C">
            <w:pPr>
              <w:rPr>
                <w:rFonts w:asciiTheme="minorHAnsi" w:hAnsiTheme="minorHAnsi"/>
                <w:sz w:val="20"/>
                <w:szCs w:val="20"/>
              </w:rPr>
            </w:pPr>
          </w:p>
        </w:tc>
        <w:tc>
          <w:tcPr>
            <w:tcW w:w="529" w:type="dxa"/>
          </w:tcPr>
          <w:p w14:paraId="3DDE7F49" w14:textId="77777777" w:rsidR="00ED1B9C" w:rsidRPr="00ED1B9C" w:rsidRDefault="00ED1B9C">
            <w:pPr>
              <w:rPr>
                <w:rFonts w:asciiTheme="minorHAnsi" w:hAnsiTheme="minorHAnsi"/>
                <w:sz w:val="20"/>
                <w:szCs w:val="20"/>
              </w:rPr>
            </w:pPr>
          </w:p>
        </w:tc>
        <w:tc>
          <w:tcPr>
            <w:tcW w:w="538" w:type="dxa"/>
          </w:tcPr>
          <w:p w14:paraId="1BC5D8D5" w14:textId="77777777" w:rsidR="00ED1B9C" w:rsidRPr="00ED1B9C" w:rsidRDefault="00ED1B9C">
            <w:pPr>
              <w:rPr>
                <w:rFonts w:asciiTheme="minorHAnsi" w:hAnsiTheme="minorHAnsi"/>
                <w:sz w:val="20"/>
                <w:szCs w:val="20"/>
              </w:rPr>
            </w:pPr>
          </w:p>
        </w:tc>
        <w:tc>
          <w:tcPr>
            <w:tcW w:w="2329" w:type="dxa"/>
          </w:tcPr>
          <w:p w14:paraId="101C1788" w14:textId="77777777" w:rsidR="00ED1B9C" w:rsidRPr="00ED1B9C" w:rsidRDefault="00ED1B9C">
            <w:pPr>
              <w:rPr>
                <w:rFonts w:asciiTheme="minorHAnsi" w:hAnsiTheme="minorHAnsi"/>
                <w:sz w:val="20"/>
                <w:szCs w:val="20"/>
              </w:rPr>
            </w:pPr>
          </w:p>
        </w:tc>
      </w:tr>
      <w:tr w:rsidR="00ED1B9C" w:rsidRPr="00ED1B9C" w14:paraId="7EA506E1" w14:textId="77777777" w:rsidTr="00EE569C">
        <w:trPr>
          <w:trHeight w:val="317"/>
        </w:trPr>
        <w:tc>
          <w:tcPr>
            <w:tcW w:w="8124" w:type="dxa"/>
          </w:tcPr>
          <w:p w14:paraId="6DA0E6D6" w14:textId="77777777" w:rsidR="00F66996" w:rsidRPr="001C5F45" w:rsidRDefault="00F66996" w:rsidP="00F66996">
            <w:pPr>
              <w:pStyle w:val="NoSpacing"/>
              <w:numPr>
                <w:ilvl w:val="0"/>
                <w:numId w:val="13"/>
              </w:numPr>
              <w:rPr>
                <w:sz w:val="22"/>
                <w:szCs w:val="22"/>
              </w:rPr>
            </w:pPr>
            <w:r w:rsidRPr="001C5F45">
              <w:rPr>
                <w:sz w:val="22"/>
                <w:szCs w:val="22"/>
              </w:rPr>
              <w:t xml:space="preserve">Turnover beds in PSH projects will be prioritized for chronically homeless participants. </w:t>
            </w:r>
          </w:p>
          <w:p w14:paraId="50C497B4" w14:textId="77777777" w:rsidR="00ED1B9C" w:rsidRPr="00ED1B9C" w:rsidRDefault="00ED1B9C">
            <w:pPr>
              <w:rPr>
                <w:rFonts w:asciiTheme="minorHAnsi" w:hAnsiTheme="minorHAnsi"/>
                <w:sz w:val="20"/>
                <w:szCs w:val="20"/>
              </w:rPr>
            </w:pPr>
          </w:p>
        </w:tc>
        <w:tc>
          <w:tcPr>
            <w:tcW w:w="529" w:type="dxa"/>
          </w:tcPr>
          <w:p w14:paraId="20FCA6E4" w14:textId="77777777" w:rsidR="00ED1B9C" w:rsidRPr="00ED1B9C" w:rsidRDefault="00ED1B9C">
            <w:pPr>
              <w:rPr>
                <w:rFonts w:asciiTheme="minorHAnsi" w:hAnsiTheme="minorHAnsi"/>
                <w:sz w:val="20"/>
                <w:szCs w:val="20"/>
              </w:rPr>
            </w:pPr>
          </w:p>
        </w:tc>
        <w:tc>
          <w:tcPr>
            <w:tcW w:w="538" w:type="dxa"/>
          </w:tcPr>
          <w:p w14:paraId="179B2BC8" w14:textId="77777777" w:rsidR="00ED1B9C" w:rsidRPr="00ED1B9C" w:rsidRDefault="00ED1B9C">
            <w:pPr>
              <w:rPr>
                <w:rFonts w:asciiTheme="minorHAnsi" w:hAnsiTheme="minorHAnsi"/>
                <w:sz w:val="20"/>
                <w:szCs w:val="20"/>
              </w:rPr>
            </w:pPr>
          </w:p>
        </w:tc>
        <w:tc>
          <w:tcPr>
            <w:tcW w:w="2329" w:type="dxa"/>
          </w:tcPr>
          <w:p w14:paraId="36EB5EEA" w14:textId="77777777" w:rsidR="00ED1B9C" w:rsidRPr="00ED1B9C" w:rsidRDefault="00ED1B9C">
            <w:pPr>
              <w:rPr>
                <w:rFonts w:asciiTheme="minorHAnsi" w:hAnsiTheme="minorHAnsi"/>
                <w:sz w:val="20"/>
                <w:szCs w:val="20"/>
              </w:rPr>
            </w:pPr>
          </w:p>
        </w:tc>
      </w:tr>
      <w:tr w:rsidR="009D6146" w:rsidRPr="00ED1B9C" w14:paraId="4735778C" w14:textId="77777777" w:rsidTr="00EE569C">
        <w:trPr>
          <w:trHeight w:val="317"/>
        </w:trPr>
        <w:tc>
          <w:tcPr>
            <w:tcW w:w="8124" w:type="dxa"/>
          </w:tcPr>
          <w:p w14:paraId="1C05D7B5" w14:textId="77777777" w:rsidR="009D6146" w:rsidRPr="009D6146" w:rsidRDefault="009D6146" w:rsidP="009D6146">
            <w:pPr>
              <w:pStyle w:val="NoSpacing"/>
              <w:numPr>
                <w:ilvl w:val="0"/>
                <w:numId w:val="13"/>
              </w:numPr>
              <w:rPr>
                <w:sz w:val="22"/>
                <w:szCs w:val="22"/>
              </w:rPr>
            </w:pPr>
            <w:r>
              <w:rPr>
                <w:sz w:val="22"/>
                <w:szCs w:val="22"/>
              </w:rPr>
              <w:t>Brief periods of stays in institutions, not to exceed 90 days for each occurrence, are not considered vacancies and the project is required to keep the unit for the participant’s return.</w:t>
            </w:r>
          </w:p>
        </w:tc>
        <w:tc>
          <w:tcPr>
            <w:tcW w:w="529" w:type="dxa"/>
          </w:tcPr>
          <w:p w14:paraId="2730F8DF" w14:textId="77777777" w:rsidR="009D6146" w:rsidRPr="00ED1B9C" w:rsidRDefault="009D6146">
            <w:pPr>
              <w:rPr>
                <w:rFonts w:asciiTheme="minorHAnsi" w:hAnsiTheme="minorHAnsi"/>
                <w:sz w:val="20"/>
                <w:szCs w:val="20"/>
              </w:rPr>
            </w:pPr>
          </w:p>
        </w:tc>
        <w:tc>
          <w:tcPr>
            <w:tcW w:w="538" w:type="dxa"/>
          </w:tcPr>
          <w:p w14:paraId="1CC84CBE" w14:textId="77777777" w:rsidR="009D6146" w:rsidRPr="00ED1B9C" w:rsidRDefault="009D6146">
            <w:pPr>
              <w:rPr>
                <w:rFonts w:asciiTheme="minorHAnsi" w:hAnsiTheme="minorHAnsi"/>
                <w:sz w:val="20"/>
                <w:szCs w:val="20"/>
              </w:rPr>
            </w:pPr>
          </w:p>
        </w:tc>
        <w:tc>
          <w:tcPr>
            <w:tcW w:w="2329" w:type="dxa"/>
          </w:tcPr>
          <w:p w14:paraId="4B34E4AC" w14:textId="77777777" w:rsidR="009D6146" w:rsidRPr="00ED1B9C" w:rsidRDefault="009D6146">
            <w:pPr>
              <w:rPr>
                <w:rFonts w:asciiTheme="minorHAnsi" w:hAnsiTheme="minorHAnsi"/>
                <w:sz w:val="20"/>
                <w:szCs w:val="20"/>
              </w:rPr>
            </w:pPr>
          </w:p>
        </w:tc>
      </w:tr>
      <w:tr w:rsidR="009D6146" w:rsidRPr="00ED1B9C" w14:paraId="57DCD6D2" w14:textId="77777777" w:rsidTr="00EE569C">
        <w:trPr>
          <w:trHeight w:val="317"/>
        </w:trPr>
        <w:tc>
          <w:tcPr>
            <w:tcW w:w="8124" w:type="dxa"/>
          </w:tcPr>
          <w:p w14:paraId="69380043" w14:textId="77777777" w:rsidR="009D6146" w:rsidRPr="009D6146" w:rsidRDefault="009D6146" w:rsidP="009D6146">
            <w:pPr>
              <w:pStyle w:val="NoSpacing"/>
              <w:numPr>
                <w:ilvl w:val="0"/>
                <w:numId w:val="13"/>
              </w:numPr>
              <w:rPr>
                <w:sz w:val="22"/>
                <w:szCs w:val="22"/>
              </w:rPr>
            </w:pPr>
            <w:r w:rsidRPr="001C5F45">
              <w:rPr>
                <w:sz w:val="22"/>
                <w:szCs w:val="22"/>
              </w:rPr>
              <w:t xml:space="preserve">PSH project will use </w:t>
            </w:r>
            <w:r>
              <w:rPr>
                <w:sz w:val="22"/>
                <w:szCs w:val="22"/>
              </w:rPr>
              <w:t>H</w:t>
            </w:r>
            <w:r w:rsidRPr="001C5F45">
              <w:rPr>
                <w:sz w:val="22"/>
                <w:szCs w:val="22"/>
              </w:rPr>
              <w:t xml:space="preserve">ousing </w:t>
            </w:r>
            <w:r>
              <w:rPr>
                <w:sz w:val="22"/>
                <w:szCs w:val="22"/>
              </w:rPr>
              <w:t>F</w:t>
            </w:r>
            <w:r w:rsidRPr="001C5F45">
              <w:rPr>
                <w:sz w:val="22"/>
                <w:szCs w:val="22"/>
              </w:rPr>
              <w:t xml:space="preserve">irst approaches. </w:t>
            </w:r>
            <w:r>
              <w:rPr>
                <w:sz w:val="22"/>
                <w:szCs w:val="22"/>
              </w:rPr>
              <w:t>(See Section I: General Requirements, Housing First)</w:t>
            </w:r>
          </w:p>
        </w:tc>
        <w:tc>
          <w:tcPr>
            <w:tcW w:w="529" w:type="dxa"/>
          </w:tcPr>
          <w:p w14:paraId="246EF258" w14:textId="77777777" w:rsidR="009D6146" w:rsidRPr="00ED1B9C" w:rsidRDefault="009D6146">
            <w:pPr>
              <w:rPr>
                <w:rFonts w:asciiTheme="minorHAnsi" w:hAnsiTheme="minorHAnsi"/>
                <w:sz w:val="20"/>
                <w:szCs w:val="20"/>
              </w:rPr>
            </w:pPr>
          </w:p>
        </w:tc>
        <w:tc>
          <w:tcPr>
            <w:tcW w:w="538" w:type="dxa"/>
          </w:tcPr>
          <w:p w14:paraId="4F53D1F1" w14:textId="77777777" w:rsidR="009D6146" w:rsidRPr="00ED1B9C" w:rsidRDefault="009D6146">
            <w:pPr>
              <w:rPr>
                <w:rFonts w:asciiTheme="minorHAnsi" w:hAnsiTheme="minorHAnsi"/>
                <w:sz w:val="20"/>
                <w:szCs w:val="20"/>
              </w:rPr>
            </w:pPr>
          </w:p>
        </w:tc>
        <w:tc>
          <w:tcPr>
            <w:tcW w:w="2329" w:type="dxa"/>
          </w:tcPr>
          <w:p w14:paraId="5DA9D853" w14:textId="77777777" w:rsidR="009D6146" w:rsidRPr="00ED1B9C" w:rsidRDefault="009D6146">
            <w:pPr>
              <w:rPr>
                <w:rFonts w:asciiTheme="minorHAnsi" w:hAnsiTheme="minorHAnsi"/>
                <w:sz w:val="20"/>
                <w:szCs w:val="20"/>
              </w:rPr>
            </w:pPr>
          </w:p>
        </w:tc>
      </w:tr>
      <w:tr w:rsidR="00E5477B" w:rsidRPr="00ED1B9C" w14:paraId="4AE2BD25" w14:textId="77777777" w:rsidTr="007C50EC">
        <w:trPr>
          <w:trHeight w:val="317"/>
        </w:trPr>
        <w:tc>
          <w:tcPr>
            <w:tcW w:w="8124" w:type="dxa"/>
            <w:shd w:val="clear" w:color="auto" w:fill="DDD9C3" w:themeFill="background2" w:themeFillShade="E6"/>
          </w:tcPr>
          <w:p w14:paraId="4E2A1AFE" w14:textId="77777777" w:rsidR="00E5477B" w:rsidRPr="00E5477B" w:rsidRDefault="00E5477B" w:rsidP="00E5477B">
            <w:pPr>
              <w:pStyle w:val="NoSpacing"/>
              <w:rPr>
                <w:b/>
                <w:sz w:val="22"/>
                <w:szCs w:val="22"/>
              </w:rPr>
            </w:pPr>
            <w:r w:rsidRPr="00E5477B">
              <w:rPr>
                <w:b/>
                <w:sz w:val="22"/>
                <w:szCs w:val="22"/>
              </w:rPr>
              <w:t>Coordinated Entry Section pertaining to Permanent Supportive Housing</w:t>
            </w:r>
          </w:p>
        </w:tc>
        <w:tc>
          <w:tcPr>
            <w:tcW w:w="529" w:type="dxa"/>
            <w:shd w:val="clear" w:color="auto" w:fill="DDD9C3" w:themeFill="background2" w:themeFillShade="E6"/>
          </w:tcPr>
          <w:p w14:paraId="405A60E8" w14:textId="77777777" w:rsidR="00E5477B" w:rsidRPr="00ED1B9C" w:rsidRDefault="00E5477B">
            <w:pPr>
              <w:rPr>
                <w:rFonts w:asciiTheme="minorHAnsi" w:hAnsiTheme="minorHAnsi"/>
                <w:sz w:val="20"/>
                <w:szCs w:val="20"/>
              </w:rPr>
            </w:pPr>
          </w:p>
        </w:tc>
        <w:tc>
          <w:tcPr>
            <w:tcW w:w="538" w:type="dxa"/>
            <w:shd w:val="clear" w:color="auto" w:fill="DDD9C3" w:themeFill="background2" w:themeFillShade="E6"/>
          </w:tcPr>
          <w:p w14:paraId="66448DEE" w14:textId="77777777" w:rsidR="00E5477B" w:rsidRPr="00ED1B9C" w:rsidRDefault="00E5477B">
            <w:pPr>
              <w:rPr>
                <w:rFonts w:asciiTheme="minorHAnsi" w:hAnsiTheme="minorHAnsi"/>
                <w:sz w:val="20"/>
                <w:szCs w:val="20"/>
              </w:rPr>
            </w:pPr>
          </w:p>
        </w:tc>
        <w:tc>
          <w:tcPr>
            <w:tcW w:w="2329" w:type="dxa"/>
            <w:shd w:val="clear" w:color="auto" w:fill="DDD9C3" w:themeFill="background2" w:themeFillShade="E6"/>
          </w:tcPr>
          <w:p w14:paraId="6F05C1A5" w14:textId="77777777" w:rsidR="00E5477B" w:rsidRPr="00ED1B9C" w:rsidRDefault="00E5477B">
            <w:pPr>
              <w:rPr>
                <w:rFonts w:asciiTheme="minorHAnsi" w:hAnsiTheme="minorHAnsi"/>
                <w:sz w:val="20"/>
                <w:szCs w:val="20"/>
              </w:rPr>
            </w:pPr>
          </w:p>
        </w:tc>
      </w:tr>
      <w:tr w:rsidR="00E5477B" w:rsidRPr="00ED1B9C" w14:paraId="21727182" w14:textId="77777777" w:rsidTr="00EE569C">
        <w:trPr>
          <w:trHeight w:val="317"/>
        </w:trPr>
        <w:tc>
          <w:tcPr>
            <w:tcW w:w="8124" w:type="dxa"/>
          </w:tcPr>
          <w:p w14:paraId="777F04FC" w14:textId="24427D21" w:rsidR="00E5477B" w:rsidRPr="00EE569C" w:rsidRDefault="00E24731" w:rsidP="00EE569C">
            <w:pPr>
              <w:pStyle w:val="NoSpacing"/>
              <w:numPr>
                <w:ilvl w:val="0"/>
                <w:numId w:val="14"/>
              </w:numPr>
              <w:rPr>
                <w:rFonts w:cstheme="minorHAnsi"/>
                <w:sz w:val="22"/>
                <w:szCs w:val="22"/>
              </w:rPr>
            </w:pPr>
            <w:r>
              <w:rPr>
                <w:rFonts w:cstheme="minorHAnsi"/>
                <w:sz w:val="22"/>
                <w:szCs w:val="22"/>
              </w:rPr>
              <w:t>When there is an anticipated opening in a housing program, housing program staff will email the CE staff to request a referral.</w:t>
            </w:r>
          </w:p>
        </w:tc>
        <w:tc>
          <w:tcPr>
            <w:tcW w:w="529" w:type="dxa"/>
          </w:tcPr>
          <w:p w14:paraId="5EEF41DD" w14:textId="77777777" w:rsidR="00E5477B" w:rsidRPr="00ED1B9C" w:rsidRDefault="00E5477B">
            <w:pPr>
              <w:rPr>
                <w:rFonts w:asciiTheme="minorHAnsi" w:hAnsiTheme="minorHAnsi"/>
                <w:sz w:val="20"/>
                <w:szCs w:val="20"/>
              </w:rPr>
            </w:pPr>
          </w:p>
        </w:tc>
        <w:tc>
          <w:tcPr>
            <w:tcW w:w="538" w:type="dxa"/>
          </w:tcPr>
          <w:p w14:paraId="1BBEA11E" w14:textId="77777777" w:rsidR="00E5477B" w:rsidRPr="00ED1B9C" w:rsidRDefault="00E5477B">
            <w:pPr>
              <w:rPr>
                <w:rFonts w:asciiTheme="minorHAnsi" w:hAnsiTheme="minorHAnsi"/>
                <w:sz w:val="20"/>
                <w:szCs w:val="20"/>
              </w:rPr>
            </w:pPr>
          </w:p>
        </w:tc>
        <w:tc>
          <w:tcPr>
            <w:tcW w:w="2329" w:type="dxa"/>
          </w:tcPr>
          <w:p w14:paraId="7B37A99A" w14:textId="77777777" w:rsidR="00E5477B" w:rsidRPr="00ED1B9C" w:rsidRDefault="00E5477B">
            <w:pPr>
              <w:rPr>
                <w:rFonts w:asciiTheme="minorHAnsi" w:hAnsiTheme="minorHAnsi"/>
                <w:sz w:val="20"/>
                <w:szCs w:val="20"/>
              </w:rPr>
            </w:pPr>
          </w:p>
        </w:tc>
      </w:tr>
      <w:tr w:rsidR="00EE569C" w:rsidRPr="00ED1B9C" w14:paraId="11043419" w14:textId="77777777" w:rsidTr="00EE569C">
        <w:trPr>
          <w:trHeight w:val="317"/>
        </w:trPr>
        <w:tc>
          <w:tcPr>
            <w:tcW w:w="8124" w:type="dxa"/>
          </w:tcPr>
          <w:p w14:paraId="3E7945BE" w14:textId="269BF4FB" w:rsidR="00EE569C" w:rsidRPr="00EE569C" w:rsidRDefault="00E24731" w:rsidP="00EE569C">
            <w:pPr>
              <w:pStyle w:val="ListParagraph"/>
              <w:numPr>
                <w:ilvl w:val="0"/>
                <w:numId w:val="14"/>
              </w:numPr>
              <w:rPr>
                <w:rFonts w:cstheme="minorHAnsi"/>
              </w:rPr>
            </w:pPr>
            <w:r>
              <w:rPr>
                <w:rFonts w:cstheme="minorHAnsi"/>
                <w:sz w:val="22"/>
                <w:szCs w:val="22"/>
              </w:rPr>
              <w:t xml:space="preserve">Households shall not be steered toward any </w:t>
            </w:r>
            <w:proofErr w:type="gramStart"/>
            <w:r>
              <w:rPr>
                <w:rFonts w:cstheme="minorHAnsi"/>
                <w:sz w:val="22"/>
                <w:szCs w:val="22"/>
              </w:rPr>
              <w:t>particular housing</w:t>
            </w:r>
            <w:proofErr w:type="gramEnd"/>
            <w:r>
              <w:rPr>
                <w:rFonts w:cstheme="minorHAnsi"/>
                <w:sz w:val="22"/>
                <w:szCs w:val="22"/>
              </w:rPr>
              <w:t xml:space="preserve"> facility or neighborhood based on a protected class.</w:t>
            </w:r>
            <w:r w:rsidR="00EE569C" w:rsidRPr="00EE569C">
              <w:rPr>
                <w:rFonts w:cstheme="minorHAnsi"/>
                <w:sz w:val="22"/>
                <w:szCs w:val="22"/>
              </w:rPr>
              <w:t xml:space="preserve"> </w:t>
            </w:r>
          </w:p>
        </w:tc>
        <w:tc>
          <w:tcPr>
            <w:tcW w:w="529" w:type="dxa"/>
          </w:tcPr>
          <w:p w14:paraId="4D7568BB" w14:textId="77777777" w:rsidR="00EE569C" w:rsidRDefault="00EE569C" w:rsidP="00EE569C"/>
        </w:tc>
        <w:tc>
          <w:tcPr>
            <w:tcW w:w="538" w:type="dxa"/>
          </w:tcPr>
          <w:p w14:paraId="2C3FBE8D" w14:textId="77777777" w:rsidR="00EE569C" w:rsidRDefault="00EE569C" w:rsidP="00EE569C"/>
        </w:tc>
        <w:tc>
          <w:tcPr>
            <w:tcW w:w="2329" w:type="dxa"/>
          </w:tcPr>
          <w:p w14:paraId="247E014A" w14:textId="77777777" w:rsidR="00EE569C" w:rsidRDefault="00EE569C" w:rsidP="00EE569C"/>
        </w:tc>
      </w:tr>
      <w:tr w:rsidR="00E24731" w:rsidRPr="00ED1B9C" w14:paraId="168AEA51" w14:textId="77777777" w:rsidTr="00EE569C">
        <w:trPr>
          <w:trHeight w:val="317"/>
        </w:trPr>
        <w:tc>
          <w:tcPr>
            <w:tcW w:w="8124" w:type="dxa"/>
          </w:tcPr>
          <w:p w14:paraId="4D399A40" w14:textId="51111E8F" w:rsidR="00E24731" w:rsidRDefault="00E24731" w:rsidP="00EE569C">
            <w:pPr>
              <w:pStyle w:val="ListParagraph"/>
              <w:numPr>
                <w:ilvl w:val="0"/>
                <w:numId w:val="14"/>
              </w:numPr>
              <w:rPr>
                <w:rFonts w:cstheme="minorHAnsi"/>
                <w:sz w:val="22"/>
                <w:szCs w:val="22"/>
              </w:rPr>
            </w:pPr>
            <w:r>
              <w:rPr>
                <w:rFonts w:cstheme="minorHAnsi"/>
                <w:sz w:val="22"/>
                <w:szCs w:val="22"/>
              </w:rPr>
              <w:t>Housing providers may not reject a household for assistance based on perceived barriers to housing or services.</w:t>
            </w:r>
          </w:p>
        </w:tc>
        <w:tc>
          <w:tcPr>
            <w:tcW w:w="529" w:type="dxa"/>
          </w:tcPr>
          <w:p w14:paraId="35DF59F3" w14:textId="77777777" w:rsidR="00E24731" w:rsidRDefault="00E24731" w:rsidP="00EE569C"/>
        </w:tc>
        <w:tc>
          <w:tcPr>
            <w:tcW w:w="538" w:type="dxa"/>
          </w:tcPr>
          <w:p w14:paraId="548A8ACE" w14:textId="77777777" w:rsidR="00E24731" w:rsidRDefault="00E24731" w:rsidP="00EE569C"/>
        </w:tc>
        <w:tc>
          <w:tcPr>
            <w:tcW w:w="2329" w:type="dxa"/>
          </w:tcPr>
          <w:p w14:paraId="61FBDE45" w14:textId="77777777" w:rsidR="00E24731" w:rsidRDefault="00E24731" w:rsidP="00EE569C"/>
        </w:tc>
      </w:tr>
      <w:tr w:rsidR="00EE569C" w:rsidRPr="00ED1B9C" w14:paraId="5B8C6345" w14:textId="77777777" w:rsidTr="00EE569C">
        <w:trPr>
          <w:trHeight w:val="317"/>
        </w:trPr>
        <w:tc>
          <w:tcPr>
            <w:tcW w:w="8124" w:type="dxa"/>
          </w:tcPr>
          <w:p w14:paraId="694F701B" w14:textId="77777777" w:rsidR="00EE569C" w:rsidRPr="00EE569C" w:rsidRDefault="00EE569C" w:rsidP="00EE569C">
            <w:pPr>
              <w:pStyle w:val="ListParagraph"/>
              <w:numPr>
                <w:ilvl w:val="0"/>
                <w:numId w:val="14"/>
              </w:numPr>
              <w:rPr>
                <w:rFonts w:cstheme="minorHAnsi"/>
                <w:sz w:val="22"/>
                <w:szCs w:val="22"/>
              </w:rPr>
            </w:pPr>
            <w:r w:rsidRPr="00EE569C">
              <w:rPr>
                <w:rFonts w:cstheme="minorHAnsi"/>
                <w:sz w:val="22"/>
                <w:szCs w:val="22"/>
              </w:rPr>
              <w:t>CoC, EHH and ESG funded programs must use the Coordinated Entry process as the only referral source from which they fill vacancies in housing or services.</w:t>
            </w:r>
          </w:p>
        </w:tc>
        <w:tc>
          <w:tcPr>
            <w:tcW w:w="529" w:type="dxa"/>
          </w:tcPr>
          <w:p w14:paraId="278CB186" w14:textId="77777777" w:rsidR="00EE569C" w:rsidRDefault="00EE569C" w:rsidP="00EE569C"/>
        </w:tc>
        <w:tc>
          <w:tcPr>
            <w:tcW w:w="538" w:type="dxa"/>
          </w:tcPr>
          <w:p w14:paraId="5B8322DE" w14:textId="77777777" w:rsidR="00EE569C" w:rsidRDefault="00EE569C" w:rsidP="00EE569C"/>
        </w:tc>
        <w:tc>
          <w:tcPr>
            <w:tcW w:w="2329" w:type="dxa"/>
          </w:tcPr>
          <w:p w14:paraId="50DD7989" w14:textId="77777777" w:rsidR="00EE569C" w:rsidRDefault="00EE569C" w:rsidP="00EE569C"/>
        </w:tc>
      </w:tr>
      <w:tr w:rsidR="00EE569C" w:rsidRPr="00ED1B9C" w14:paraId="3C71F54A" w14:textId="77777777" w:rsidTr="00EE569C">
        <w:trPr>
          <w:trHeight w:val="317"/>
        </w:trPr>
        <w:tc>
          <w:tcPr>
            <w:tcW w:w="8124" w:type="dxa"/>
          </w:tcPr>
          <w:p w14:paraId="736CDE9D" w14:textId="0AAA1284" w:rsidR="00EE569C" w:rsidRPr="00E24731" w:rsidRDefault="00EE569C" w:rsidP="00E24731">
            <w:pPr>
              <w:pStyle w:val="ListParagraph"/>
              <w:numPr>
                <w:ilvl w:val="0"/>
                <w:numId w:val="14"/>
              </w:numPr>
              <w:rPr>
                <w:rFonts w:cstheme="minorHAnsi"/>
                <w:sz w:val="22"/>
                <w:szCs w:val="22"/>
              </w:rPr>
            </w:pPr>
            <w:r w:rsidRPr="00EE569C">
              <w:rPr>
                <w:rFonts w:cstheme="minorHAnsi"/>
                <w:sz w:val="22"/>
                <w:szCs w:val="22"/>
              </w:rPr>
              <w:t>When an agency receives a name from the priority list, staff must initiate contact with the person within two business days.</w:t>
            </w:r>
          </w:p>
        </w:tc>
        <w:tc>
          <w:tcPr>
            <w:tcW w:w="529" w:type="dxa"/>
          </w:tcPr>
          <w:p w14:paraId="32A517A9" w14:textId="77777777" w:rsidR="00EE569C" w:rsidRDefault="00EE569C" w:rsidP="00EE569C"/>
        </w:tc>
        <w:tc>
          <w:tcPr>
            <w:tcW w:w="538" w:type="dxa"/>
          </w:tcPr>
          <w:p w14:paraId="02897428" w14:textId="77777777" w:rsidR="00EE569C" w:rsidRDefault="00EE569C" w:rsidP="00EE569C"/>
        </w:tc>
        <w:tc>
          <w:tcPr>
            <w:tcW w:w="2329" w:type="dxa"/>
          </w:tcPr>
          <w:p w14:paraId="6E39DA20" w14:textId="77777777" w:rsidR="00EE569C" w:rsidRDefault="00EE569C" w:rsidP="00EE569C"/>
        </w:tc>
      </w:tr>
    </w:tbl>
    <w:p w14:paraId="7ADBE56E" w14:textId="77777777" w:rsidR="00ED1B9C" w:rsidRDefault="00ED1B9C" w:rsidP="002F5E2E">
      <w:pPr>
        <w:rPr>
          <w:rFonts w:asciiTheme="minorHAnsi" w:hAnsiTheme="minorHAnsi"/>
          <w:sz w:val="20"/>
          <w:szCs w:val="20"/>
        </w:rPr>
      </w:pPr>
    </w:p>
    <w:p w14:paraId="60FDAD16" w14:textId="77777777" w:rsidR="009805CE" w:rsidRDefault="009805CE" w:rsidP="002F5E2E">
      <w:pPr>
        <w:rPr>
          <w:rFonts w:asciiTheme="minorHAnsi" w:hAnsiTheme="minorHAnsi"/>
          <w:sz w:val="20"/>
          <w:szCs w:val="20"/>
        </w:rPr>
      </w:pPr>
    </w:p>
    <w:p w14:paraId="7EE61635" w14:textId="77777777" w:rsidR="009805CE" w:rsidRDefault="009805CE" w:rsidP="002F5E2E">
      <w:pPr>
        <w:rPr>
          <w:rFonts w:asciiTheme="minorHAnsi" w:hAnsiTheme="minorHAnsi"/>
          <w:sz w:val="20"/>
          <w:szCs w:val="20"/>
        </w:rPr>
      </w:pPr>
    </w:p>
    <w:p w14:paraId="2506C9C0" w14:textId="77777777" w:rsidR="00E24731" w:rsidRDefault="00E24731" w:rsidP="009805CE">
      <w:pPr>
        <w:rPr>
          <w:rFonts w:asciiTheme="minorHAnsi" w:hAnsiTheme="minorHAnsi"/>
          <w:sz w:val="20"/>
          <w:szCs w:val="20"/>
        </w:rPr>
      </w:pPr>
    </w:p>
    <w:p w14:paraId="2D1D2583" w14:textId="77777777" w:rsidR="00E24731" w:rsidRDefault="00E24731" w:rsidP="009805CE">
      <w:pPr>
        <w:rPr>
          <w:rFonts w:asciiTheme="minorHAnsi" w:hAnsiTheme="minorHAnsi"/>
          <w:sz w:val="20"/>
          <w:szCs w:val="20"/>
        </w:rPr>
      </w:pPr>
    </w:p>
    <w:p w14:paraId="4F5CD7CD" w14:textId="77777777" w:rsidR="00E24731" w:rsidRDefault="00E24731" w:rsidP="009805CE">
      <w:pPr>
        <w:rPr>
          <w:rFonts w:asciiTheme="minorHAnsi" w:hAnsiTheme="minorHAnsi"/>
          <w:sz w:val="20"/>
          <w:szCs w:val="20"/>
        </w:rPr>
      </w:pPr>
    </w:p>
    <w:p w14:paraId="5BEEDAB3" w14:textId="5234D1AE" w:rsidR="009805CE" w:rsidRDefault="009805CE" w:rsidP="009805CE">
      <w:pPr>
        <w:rPr>
          <w:rFonts w:asciiTheme="minorHAnsi" w:hAnsiTheme="minorHAnsi"/>
          <w:sz w:val="20"/>
          <w:szCs w:val="20"/>
        </w:rPr>
      </w:pPr>
      <w:r>
        <w:rPr>
          <w:rFonts w:asciiTheme="minorHAnsi" w:hAnsiTheme="minorHAnsi"/>
          <w:sz w:val="20"/>
          <w:szCs w:val="20"/>
        </w:rPr>
        <w:lastRenderedPageBreak/>
        <w:t xml:space="preserve">Suggested Updates: </w:t>
      </w:r>
    </w:p>
    <w:p w14:paraId="7548F125" w14:textId="77777777" w:rsidR="009805CE" w:rsidRDefault="009805CE" w:rsidP="009805CE">
      <w:pPr>
        <w:spacing w:line="48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81CC5" w14:textId="77777777" w:rsidR="009805CE" w:rsidRPr="00B30318" w:rsidRDefault="009805CE" w:rsidP="002F5E2E">
      <w:pPr>
        <w:rPr>
          <w:rFonts w:asciiTheme="minorHAnsi" w:hAnsiTheme="minorHAnsi"/>
          <w:sz w:val="20"/>
          <w:szCs w:val="20"/>
        </w:rPr>
      </w:pPr>
    </w:p>
    <w:sectPr w:rsidR="009805CE" w:rsidRPr="00B30318" w:rsidSect="002F5E2E">
      <w:footerReference w:type="default" r:id="rId7"/>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AED1" w14:textId="77777777" w:rsidR="002F5E2E" w:rsidRDefault="002F5E2E" w:rsidP="002F5E2E">
      <w:r>
        <w:separator/>
      </w:r>
    </w:p>
  </w:endnote>
  <w:endnote w:type="continuationSeparator" w:id="0">
    <w:p w14:paraId="3A145B24" w14:textId="77777777" w:rsidR="002F5E2E" w:rsidRDefault="002F5E2E" w:rsidP="002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55035"/>
      <w:docPartObj>
        <w:docPartGallery w:val="Page Numbers (Bottom of Page)"/>
        <w:docPartUnique/>
      </w:docPartObj>
    </w:sdtPr>
    <w:sdtEndPr>
      <w:rPr>
        <w:noProof/>
      </w:rPr>
    </w:sdtEndPr>
    <w:sdtContent>
      <w:p w14:paraId="29CD9D76" w14:textId="77777777" w:rsidR="002F5E2E" w:rsidRDefault="002F5E2E">
        <w:pPr>
          <w:pStyle w:val="Footer"/>
          <w:jc w:val="center"/>
        </w:pPr>
        <w:r>
          <w:fldChar w:fldCharType="begin"/>
        </w:r>
        <w:r>
          <w:instrText xml:space="preserve"> PAGE   \* MERGEFORMAT </w:instrText>
        </w:r>
        <w:r>
          <w:fldChar w:fldCharType="separate"/>
        </w:r>
        <w:r w:rsidR="005C5FFB">
          <w:rPr>
            <w:noProof/>
          </w:rPr>
          <w:t>2</w:t>
        </w:r>
        <w:r>
          <w:rPr>
            <w:noProof/>
          </w:rPr>
          <w:fldChar w:fldCharType="end"/>
        </w:r>
      </w:p>
    </w:sdtContent>
  </w:sdt>
  <w:p w14:paraId="501E8890" w14:textId="0EDD6AC0" w:rsidR="002F5E2E" w:rsidRDefault="00E24731" w:rsidP="001A5EC2">
    <w:pPr>
      <w:pStyle w:val="Footer"/>
      <w:jc w:val="right"/>
    </w:pPr>
    <w:r>
      <w:t>4/3/25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3727" w14:textId="77777777" w:rsidR="002F5E2E" w:rsidRDefault="002F5E2E" w:rsidP="002F5E2E">
      <w:r>
        <w:separator/>
      </w:r>
    </w:p>
  </w:footnote>
  <w:footnote w:type="continuationSeparator" w:id="0">
    <w:p w14:paraId="567775D8" w14:textId="77777777" w:rsidR="002F5E2E" w:rsidRDefault="002F5E2E" w:rsidP="002F5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BE4"/>
    <w:multiLevelType w:val="hybridMultilevel"/>
    <w:tmpl w:val="7D802BA6"/>
    <w:lvl w:ilvl="0" w:tplc="EE5619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10E2"/>
    <w:multiLevelType w:val="hybridMultilevel"/>
    <w:tmpl w:val="C6427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638"/>
    <w:multiLevelType w:val="hybridMultilevel"/>
    <w:tmpl w:val="8F7874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D3221"/>
    <w:multiLevelType w:val="hybridMultilevel"/>
    <w:tmpl w:val="C72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A1C54"/>
    <w:multiLevelType w:val="hybridMultilevel"/>
    <w:tmpl w:val="E4BA6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1B00CC"/>
    <w:multiLevelType w:val="hybridMultilevel"/>
    <w:tmpl w:val="B8948102"/>
    <w:lvl w:ilvl="0" w:tplc="D7BA75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F026D"/>
    <w:multiLevelType w:val="hybridMultilevel"/>
    <w:tmpl w:val="98045D2C"/>
    <w:lvl w:ilvl="0" w:tplc="C19E7B1E">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B4113"/>
    <w:multiLevelType w:val="hybridMultilevel"/>
    <w:tmpl w:val="004A7A84"/>
    <w:lvl w:ilvl="0" w:tplc="9398B07A">
      <w:start w:val="1"/>
      <w:numFmt w:val="bullet"/>
      <w:lvlText w:val=""/>
      <w:lvlJc w:val="left"/>
      <w:pPr>
        <w:ind w:left="720" w:hanging="360"/>
      </w:pPr>
      <w:rPr>
        <w:rFonts w:ascii="Symbol" w:hAnsi="Symbol"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B796F"/>
    <w:multiLevelType w:val="hybridMultilevel"/>
    <w:tmpl w:val="B47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967ED"/>
    <w:multiLevelType w:val="hybridMultilevel"/>
    <w:tmpl w:val="556A3332"/>
    <w:lvl w:ilvl="0" w:tplc="75E433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CA7136"/>
    <w:multiLevelType w:val="hybridMultilevel"/>
    <w:tmpl w:val="D66EF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1695E"/>
    <w:multiLevelType w:val="hybridMultilevel"/>
    <w:tmpl w:val="C55A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D3D81"/>
    <w:multiLevelType w:val="hybridMultilevel"/>
    <w:tmpl w:val="393AC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BB5883"/>
    <w:multiLevelType w:val="hybridMultilevel"/>
    <w:tmpl w:val="C130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802014">
    <w:abstractNumId w:val="3"/>
  </w:num>
  <w:num w:numId="2" w16cid:durableId="1155802017">
    <w:abstractNumId w:val="8"/>
  </w:num>
  <w:num w:numId="3" w16cid:durableId="795030678">
    <w:abstractNumId w:val="1"/>
  </w:num>
  <w:num w:numId="4" w16cid:durableId="931280208">
    <w:abstractNumId w:val="6"/>
  </w:num>
  <w:num w:numId="5" w16cid:durableId="1513957126">
    <w:abstractNumId w:val="0"/>
  </w:num>
  <w:num w:numId="6" w16cid:durableId="304355557">
    <w:abstractNumId w:val="9"/>
  </w:num>
  <w:num w:numId="7" w16cid:durableId="770979150">
    <w:abstractNumId w:val="7"/>
  </w:num>
  <w:num w:numId="8" w16cid:durableId="1853179570">
    <w:abstractNumId w:val="13"/>
  </w:num>
  <w:num w:numId="9" w16cid:durableId="1015036207">
    <w:abstractNumId w:val="4"/>
  </w:num>
  <w:num w:numId="10" w16cid:durableId="518587761">
    <w:abstractNumId w:val="11"/>
  </w:num>
  <w:num w:numId="11" w16cid:durableId="524055193">
    <w:abstractNumId w:val="5"/>
  </w:num>
  <w:num w:numId="12" w16cid:durableId="1824659302">
    <w:abstractNumId w:val="12"/>
  </w:num>
  <w:num w:numId="13" w16cid:durableId="172108309">
    <w:abstractNumId w:val="2"/>
  </w:num>
  <w:num w:numId="14" w16cid:durableId="475029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9"/>
    <w:rsid w:val="00074A55"/>
    <w:rsid w:val="001A3CC8"/>
    <w:rsid w:val="001A5EC2"/>
    <w:rsid w:val="001D58CC"/>
    <w:rsid w:val="002F5E2E"/>
    <w:rsid w:val="004214C4"/>
    <w:rsid w:val="004B135B"/>
    <w:rsid w:val="004F7B4B"/>
    <w:rsid w:val="00502FE3"/>
    <w:rsid w:val="00583A59"/>
    <w:rsid w:val="005C5FFB"/>
    <w:rsid w:val="005D62EE"/>
    <w:rsid w:val="00725ED6"/>
    <w:rsid w:val="007270FE"/>
    <w:rsid w:val="0074661A"/>
    <w:rsid w:val="00780B5D"/>
    <w:rsid w:val="0078363D"/>
    <w:rsid w:val="007C50EC"/>
    <w:rsid w:val="00800DBC"/>
    <w:rsid w:val="008011DC"/>
    <w:rsid w:val="00915DEF"/>
    <w:rsid w:val="0094340B"/>
    <w:rsid w:val="009805CE"/>
    <w:rsid w:val="009D1475"/>
    <w:rsid w:val="009D6146"/>
    <w:rsid w:val="00A537D0"/>
    <w:rsid w:val="00A81207"/>
    <w:rsid w:val="00B02DB0"/>
    <w:rsid w:val="00B30318"/>
    <w:rsid w:val="00B728B0"/>
    <w:rsid w:val="00CA0D7B"/>
    <w:rsid w:val="00CD63E1"/>
    <w:rsid w:val="00D10A6F"/>
    <w:rsid w:val="00DB700C"/>
    <w:rsid w:val="00E06C3A"/>
    <w:rsid w:val="00E24731"/>
    <w:rsid w:val="00E41438"/>
    <w:rsid w:val="00E43D95"/>
    <w:rsid w:val="00E5477B"/>
    <w:rsid w:val="00ED1B9C"/>
    <w:rsid w:val="00EE569C"/>
    <w:rsid w:val="00EF4050"/>
    <w:rsid w:val="00F255CB"/>
    <w:rsid w:val="00F6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27374"/>
  <w15:chartTrackingRefBased/>
  <w15:docId w15:val="{76BC7F82-DD2E-4E03-ACF5-1943671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55"/>
    <w:rPr>
      <w:sz w:val="24"/>
      <w:szCs w:val="24"/>
    </w:rPr>
  </w:style>
  <w:style w:type="paragraph" w:styleId="Heading2">
    <w:name w:val="heading 2"/>
    <w:basedOn w:val="Normal"/>
    <w:next w:val="Normal"/>
    <w:link w:val="Heading2Char"/>
    <w:uiPriority w:val="9"/>
    <w:unhideWhenUsed/>
    <w:qFormat/>
    <w:rsid w:val="00B02D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line="276" w:lineRule="auto"/>
      <w:outlineLvl w:val="1"/>
    </w:pPr>
    <w:rPr>
      <w:rFonts w:asciiTheme="minorHAnsi" w:eastAsiaTheme="minorEastAsia" w:hAnsiTheme="minorHAnsi" w:cstheme="minorBidi"/>
      <w:b/>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FE3"/>
    <w:pPr>
      <w:spacing w:before="10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B02DB0"/>
    <w:rPr>
      <w:rFonts w:asciiTheme="minorHAnsi" w:eastAsiaTheme="minorEastAsia" w:hAnsiTheme="minorHAnsi" w:cstheme="minorBidi"/>
      <w:b/>
      <w:caps/>
      <w:spacing w:val="15"/>
      <w:shd w:val="clear" w:color="auto" w:fill="DBE5F1" w:themeFill="accent1" w:themeFillTint="33"/>
    </w:rPr>
  </w:style>
  <w:style w:type="paragraph" w:styleId="ListParagraph">
    <w:name w:val="List Paragraph"/>
    <w:basedOn w:val="Normal"/>
    <w:uiPriority w:val="34"/>
    <w:qFormat/>
    <w:rsid w:val="00D10A6F"/>
    <w:pPr>
      <w:spacing w:before="100" w:after="200" w:line="276" w:lineRule="auto"/>
      <w:ind w:left="720"/>
      <w:contextualSpacing/>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2F5E2E"/>
    <w:pPr>
      <w:tabs>
        <w:tab w:val="center" w:pos="4680"/>
        <w:tab w:val="right" w:pos="9360"/>
      </w:tabs>
    </w:pPr>
  </w:style>
  <w:style w:type="character" w:customStyle="1" w:styleId="HeaderChar">
    <w:name w:val="Header Char"/>
    <w:basedOn w:val="DefaultParagraphFont"/>
    <w:link w:val="Header"/>
    <w:uiPriority w:val="99"/>
    <w:rsid w:val="002F5E2E"/>
    <w:rPr>
      <w:sz w:val="24"/>
      <w:szCs w:val="24"/>
    </w:rPr>
  </w:style>
  <w:style w:type="paragraph" w:styleId="Footer">
    <w:name w:val="footer"/>
    <w:basedOn w:val="Normal"/>
    <w:link w:val="FooterChar"/>
    <w:uiPriority w:val="99"/>
    <w:unhideWhenUsed/>
    <w:rsid w:val="002F5E2E"/>
    <w:pPr>
      <w:tabs>
        <w:tab w:val="center" w:pos="4680"/>
        <w:tab w:val="right" w:pos="9360"/>
      </w:tabs>
    </w:pPr>
  </w:style>
  <w:style w:type="character" w:customStyle="1" w:styleId="FooterChar">
    <w:name w:val="Footer Char"/>
    <w:basedOn w:val="DefaultParagraphFont"/>
    <w:link w:val="Footer"/>
    <w:uiPriority w:val="99"/>
    <w:rsid w:val="002F5E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284</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cdsl</dc:creator>
  <cp:keywords/>
  <dc:description/>
  <cp:lastModifiedBy>Kopp Mueller, Torrie</cp:lastModifiedBy>
  <cp:revision>16</cp:revision>
  <dcterms:created xsi:type="dcterms:W3CDTF">2018-11-01T16:24:00Z</dcterms:created>
  <dcterms:modified xsi:type="dcterms:W3CDTF">2025-04-03T20:22:00Z</dcterms:modified>
</cp:coreProperties>
</file>